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45C4DE02" w:rsidR="005D74A1" w:rsidRPr="00A0480E" w:rsidRDefault="00D9635B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 w:rsidRPr="00A0480E">
        <w:rPr>
          <w:sz w:val="28"/>
        </w:rPr>
        <w:t>Факультет</w:t>
      </w:r>
      <w:r w:rsidRPr="00A0480E">
        <w:rPr>
          <w:spacing w:val="-3"/>
          <w:sz w:val="28"/>
        </w:rPr>
        <w:t xml:space="preserve"> </w:t>
      </w:r>
      <w:r w:rsidR="000C2149">
        <w:rPr>
          <w:sz w:val="28"/>
        </w:rPr>
        <w:t>математики та інформатики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0804EC0" w:rsidR="005D74A1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055A0B3F" w14:textId="77777777" w:rsidR="000C2149" w:rsidRPr="00A0480E" w:rsidRDefault="000C2149">
      <w:pPr>
        <w:pStyle w:val="a3"/>
        <w:spacing w:before="89"/>
        <w:ind w:left="1313" w:right="1325"/>
        <w:jc w:val="center"/>
      </w:pPr>
    </w:p>
    <w:p w14:paraId="3E78CB15" w14:textId="77777777" w:rsidR="005D74A1" w:rsidRPr="00A0480E" w:rsidRDefault="005D74A1">
      <w:pPr>
        <w:rPr>
          <w:b/>
          <w:sz w:val="20"/>
        </w:rPr>
      </w:pPr>
    </w:p>
    <w:p w14:paraId="6A699B86" w14:textId="6A6E2E26" w:rsidR="000C2149" w:rsidRDefault="000C2149" w:rsidP="000C2149">
      <w:pPr>
        <w:jc w:val="center"/>
        <w:rPr>
          <w:b/>
          <w:bCs/>
          <w:sz w:val="28"/>
          <w:szCs w:val="28"/>
        </w:rPr>
      </w:pPr>
      <w:proofErr w:type="spellStart"/>
      <w:r w:rsidRPr="000C2149">
        <w:rPr>
          <w:b/>
          <w:bCs/>
          <w:sz w:val="28"/>
          <w:szCs w:val="28"/>
        </w:rPr>
        <w:t>Професійно</w:t>
      </w:r>
      <w:proofErr w:type="spellEnd"/>
      <w:r w:rsidRPr="000C2149">
        <w:rPr>
          <w:b/>
          <w:bCs/>
          <w:sz w:val="28"/>
          <w:szCs w:val="28"/>
        </w:rPr>
        <w:t>-педагогічні комунікації у міжнародному просторі</w:t>
      </w:r>
    </w:p>
    <w:p w14:paraId="1FED65D6" w14:textId="77777777" w:rsidR="000C2149" w:rsidRPr="000C2149" w:rsidRDefault="000C2149" w:rsidP="000C2149">
      <w:pPr>
        <w:jc w:val="center"/>
        <w:rPr>
          <w:b/>
          <w:bCs/>
          <w:sz w:val="28"/>
          <w:szCs w:val="28"/>
        </w:rPr>
      </w:pPr>
    </w:p>
    <w:p w14:paraId="5E23CFDC" w14:textId="399910C5" w:rsidR="005D74A1" w:rsidRDefault="00D9635B" w:rsidP="00220A30">
      <w:pPr>
        <w:tabs>
          <w:tab w:val="left" w:pos="5406"/>
        </w:tabs>
        <w:spacing w:before="266"/>
        <w:ind w:left="2105"/>
        <w:rPr>
          <w:sz w:val="28"/>
          <w:szCs w:val="28"/>
        </w:rPr>
      </w:pPr>
      <w:r w:rsidRPr="00A0480E">
        <w:rPr>
          <w:sz w:val="28"/>
        </w:rPr>
        <w:t>Освітня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програма</w:t>
      </w:r>
      <w:r w:rsidRPr="00A0480E">
        <w:rPr>
          <w:spacing w:val="-3"/>
          <w:sz w:val="28"/>
        </w:rPr>
        <w:t xml:space="preserve"> </w:t>
      </w:r>
      <w:r w:rsidR="000C2149">
        <w:rPr>
          <w:sz w:val="28"/>
          <w:szCs w:val="28"/>
        </w:rPr>
        <w:t>Інформатика</w:t>
      </w:r>
    </w:p>
    <w:p w14:paraId="12BA2030" w14:textId="77777777" w:rsidR="00220A30" w:rsidRPr="00A0480E" w:rsidRDefault="00220A30" w:rsidP="00220A30">
      <w:pPr>
        <w:tabs>
          <w:tab w:val="left" w:pos="5406"/>
        </w:tabs>
        <w:spacing w:before="266"/>
        <w:ind w:left="2105"/>
        <w:rPr>
          <w:sz w:val="20"/>
        </w:rPr>
      </w:pPr>
    </w:p>
    <w:p w14:paraId="1EEA14CC" w14:textId="5EB22519" w:rsidR="005D74A1" w:rsidRPr="00A0480E" w:rsidRDefault="00220A30" w:rsidP="000C2149">
      <w:pPr>
        <w:tabs>
          <w:tab w:val="left" w:pos="1985"/>
          <w:tab w:val="left" w:pos="4253"/>
        </w:tabs>
        <w:ind w:left="1560"/>
        <w:rPr>
          <w:sz w:val="28"/>
        </w:rPr>
      </w:pPr>
      <w:r>
        <w:rPr>
          <w:sz w:val="28"/>
        </w:rPr>
        <w:t xml:space="preserve">        </w:t>
      </w:r>
      <w:r w:rsidR="00D9635B" w:rsidRPr="00A0480E">
        <w:rPr>
          <w:sz w:val="28"/>
        </w:rPr>
        <w:t>Спеціальність</w:t>
      </w:r>
      <w:r w:rsidR="00D9635B" w:rsidRPr="00A0480E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   </w:t>
      </w:r>
      <w:r w:rsidR="000C2149">
        <w:rPr>
          <w:sz w:val="28"/>
          <w:szCs w:val="28"/>
        </w:rPr>
        <w:t>014.09  Середня освіта (Інформатика)</w:t>
      </w:r>
    </w:p>
    <w:p w14:paraId="152CA2D7" w14:textId="77777777" w:rsidR="005D74A1" w:rsidRPr="00A0480E" w:rsidRDefault="005D74A1">
      <w:pPr>
        <w:rPr>
          <w:sz w:val="20"/>
        </w:rPr>
      </w:pPr>
    </w:p>
    <w:p w14:paraId="6C6FC594" w14:textId="1863B5FC" w:rsidR="005D74A1" w:rsidRPr="00A0480E" w:rsidRDefault="00D9635B">
      <w:pPr>
        <w:tabs>
          <w:tab w:val="left" w:pos="5382"/>
        </w:tabs>
        <w:spacing w:before="89"/>
        <w:ind w:left="2105"/>
        <w:rPr>
          <w:sz w:val="28"/>
        </w:rPr>
      </w:pPr>
      <w:r w:rsidRPr="00A0480E">
        <w:rPr>
          <w:sz w:val="28"/>
        </w:rPr>
        <w:t>Галузь</w:t>
      </w:r>
      <w:r w:rsidRPr="00A0480E">
        <w:rPr>
          <w:spacing w:val="-1"/>
          <w:sz w:val="28"/>
        </w:rPr>
        <w:t xml:space="preserve"> </w:t>
      </w:r>
      <w:r w:rsidRPr="00A0480E">
        <w:rPr>
          <w:sz w:val="28"/>
        </w:rPr>
        <w:t>знань</w:t>
      </w:r>
      <w:r w:rsidR="00220A30">
        <w:rPr>
          <w:sz w:val="28"/>
        </w:rPr>
        <w:t xml:space="preserve">       </w:t>
      </w:r>
      <w:r w:rsidRPr="00A0480E">
        <w:rPr>
          <w:spacing w:val="-2"/>
          <w:sz w:val="28"/>
        </w:rPr>
        <w:t xml:space="preserve"> </w:t>
      </w:r>
      <w:r w:rsidR="000C2149">
        <w:rPr>
          <w:sz w:val="28"/>
          <w:szCs w:val="28"/>
        </w:rPr>
        <w:t>01 Освіта/Педагогіка</w:t>
      </w: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60771B04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545464C2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576A5658" w:rsidR="005D74A1" w:rsidRPr="000C2149" w:rsidRDefault="000C214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C2149">
              <w:rPr>
                <w:sz w:val="28"/>
                <w:szCs w:val="28"/>
              </w:rPr>
              <w:t>Професійно</w:t>
            </w:r>
            <w:proofErr w:type="spellEnd"/>
            <w:r w:rsidRPr="000C2149">
              <w:rPr>
                <w:sz w:val="28"/>
                <w:szCs w:val="28"/>
              </w:rPr>
              <w:t>-педагогічні комунікації у міжнародному просторі</w:t>
            </w:r>
          </w:p>
        </w:tc>
      </w:tr>
      <w:tr w:rsidR="00A0480E" w:rsidRPr="00A0480E" w14:paraId="40EE34A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70A31111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освіта (інформатика)</w:t>
            </w:r>
          </w:p>
        </w:tc>
      </w:tr>
      <w:tr w:rsidR="00A0480E" w:rsidRPr="00A0480E" w14:paraId="0602E60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AD2A380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0A647269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014.09  Середня освіта (інформатика)</w:t>
            </w:r>
          </w:p>
        </w:tc>
      </w:tr>
      <w:tr w:rsidR="00A0480E" w:rsidRPr="00A0480E" w14:paraId="733F77B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16FA11B8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Освіта/Педагогіка</w:t>
            </w:r>
          </w:p>
        </w:tc>
      </w:tr>
      <w:tr w:rsidR="00A0480E" w:rsidRPr="00A0480E" w14:paraId="363C7087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5AC355EE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</w:t>
            </w:r>
            <w:r w:rsidR="00BC49C9">
              <w:rPr>
                <w:sz w:val="28"/>
                <w:szCs w:val="28"/>
              </w:rPr>
              <w:t>магістр</w:t>
            </w:r>
            <w:r w:rsidRPr="00A0480E">
              <w:rPr>
                <w:sz w:val="28"/>
                <w:szCs w:val="28"/>
              </w:rPr>
              <w:t>)</w:t>
            </w:r>
          </w:p>
        </w:tc>
      </w:tr>
      <w:tr w:rsidR="00A0480E" w:rsidRPr="00A0480E" w14:paraId="03752899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21260887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516">
              <w:rPr>
                <w:sz w:val="28"/>
                <w:szCs w:val="28"/>
              </w:rPr>
              <w:t>/</w:t>
            </w:r>
            <w:r w:rsidR="0080470B">
              <w:rPr>
                <w:sz w:val="28"/>
                <w:szCs w:val="28"/>
              </w:rPr>
              <w:t>1</w:t>
            </w:r>
          </w:p>
        </w:tc>
      </w:tr>
      <w:tr w:rsidR="00A0480E" w:rsidRPr="00A0480E" w14:paraId="492EDA77" w14:textId="77777777" w:rsidTr="005C450A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478E1867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</w:t>
            </w:r>
            <w:r w:rsidR="00282E66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6CB18031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282E66">
              <w:rPr>
                <w:sz w:val="28"/>
                <w:szCs w:val="28"/>
              </w:rPr>
              <w:t>6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5C450A" w:rsidRPr="00A0480E" w14:paraId="4188AE9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5C450A" w:rsidRPr="00A0480E" w:rsidRDefault="005C450A" w:rsidP="005C450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6885203F" w:rsidR="005C450A" w:rsidRPr="00A0480E" w:rsidRDefault="005C450A" w:rsidP="005C45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5C450A" w:rsidRPr="00A0480E" w14:paraId="340BAD82" w14:textId="77777777" w:rsidTr="005C450A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5C450A" w:rsidRPr="00A0480E" w:rsidRDefault="005C450A" w:rsidP="005C450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5C450A" w:rsidRPr="00A0480E" w:rsidRDefault="005C450A" w:rsidP="005C450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5632ED1F" w:rsidR="005C450A" w:rsidRPr="00A0480E" w:rsidRDefault="005C450A" w:rsidP="005C450A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3B81EA28" w:rsidR="00A0480E" w:rsidRDefault="00A0480E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AB4440B" w14:textId="47358465" w:rsidR="005D74A1" w:rsidRPr="00A0480E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Мета</w:t>
            </w:r>
            <w:r w:rsidRPr="00A0480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та</w:t>
            </w:r>
            <w:r w:rsidRPr="00A0480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цілі курсу</w:t>
            </w:r>
            <w:r w:rsidRPr="00A0480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6CDA3ACA" w14:textId="2DF286A3" w:rsidR="00805F46" w:rsidRPr="00A0480E" w:rsidRDefault="00805F46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proofErr w:type="spellStart"/>
            <w:r w:rsidR="00F466AF" w:rsidRPr="00F466AF">
              <w:rPr>
                <w:sz w:val="24"/>
                <w:szCs w:val="24"/>
              </w:rPr>
              <w:t>Професійно</w:t>
            </w:r>
            <w:proofErr w:type="spellEnd"/>
            <w:r w:rsidR="00F466AF" w:rsidRPr="00F466AF">
              <w:rPr>
                <w:sz w:val="24"/>
                <w:szCs w:val="24"/>
              </w:rPr>
              <w:t>-педагогічні комунікації у міжнародному просторі</w:t>
            </w:r>
            <w:r w:rsidRPr="00F466AF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017496DE" w14:textId="54F86B9B" w:rsidR="005D74A1" w:rsidRPr="00A0480E" w:rsidRDefault="00D9635B" w:rsidP="00805F4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Компетентності</w:t>
            </w:r>
          </w:p>
          <w:p w14:paraId="738B8296" w14:textId="588A9C19" w:rsidR="00805F46" w:rsidRPr="00A0480E" w:rsidRDefault="00805F46" w:rsidP="00805F46">
            <w:pPr>
              <w:pStyle w:val="a5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4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1. Загальні компетентності </w:t>
            </w:r>
          </w:p>
          <w:p w14:paraId="45C818C1" w14:textId="77777777" w:rsidR="000F68AC" w:rsidRDefault="000F68AC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 xml:space="preserve">Аналіз та синтез (ЗК1). Здатність до аналізу та синтезу на основі логічних аргументів та перевірених фактів. </w:t>
            </w:r>
          </w:p>
          <w:p w14:paraId="15A5EB63" w14:textId="77777777" w:rsidR="000F68AC" w:rsidRDefault="000F68AC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 xml:space="preserve">Гнучкість мислення (ЗК2). Набуття гнучкого способу мислення, який дозволяє зрозуміти та розв’язати проблеми та задачі, зберігаючи при цьому критичне ставлення до сталих наукових концепцій. Відкритість до застосування знань та </w:t>
            </w:r>
            <w:proofErr w:type="spellStart"/>
            <w:r w:rsidRPr="000F68AC">
              <w:rPr>
                <w:sz w:val="24"/>
                <w:szCs w:val="24"/>
              </w:rPr>
              <w:t>компетентностей</w:t>
            </w:r>
            <w:proofErr w:type="spellEnd"/>
            <w:r w:rsidRPr="000F68AC">
              <w:rPr>
                <w:sz w:val="24"/>
                <w:szCs w:val="24"/>
              </w:rPr>
              <w:t xml:space="preserve"> в широкому діапазоні можливих місць роботи та повсякденному житті. </w:t>
            </w:r>
          </w:p>
          <w:p w14:paraId="4D589BD1" w14:textId="77777777" w:rsid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 xml:space="preserve">Групова робота (ЗК3). Здатність до роботи в команді. Здатність виконувати лабораторні дослідження в групі під керівництвом лідера, навички, що демонструють здатність до врахування строгих вимог дисципліни, планування та управління часом. </w:t>
            </w:r>
          </w:p>
          <w:p w14:paraId="48396EC5" w14:textId="161F6454" w:rsid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 xml:space="preserve">Комунікаційні навички (ЗК4). Здатність до ефективного </w:t>
            </w:r>
            <w:proofErr w:type="spellStart"/>
            <w:r w:rsidRPr="000F68AC">
              <w:rPr>
                <w:sz w:val="24"/>
                <w:szCs w:val="24"/>
              </w:rPr>
              <w:t>комунікування</w:t>
            </w:r>
            <w:proofErr w:type="spellEnd"/>
            <w:r w:rsidRPr="000F68AC">
              <w:rPr>
                <w:sz w:val="24"/>
                <w:szCs w:val="24"/>
              </w:rPr>
              <w:t xml:space="preserve"> та до представлення складної комплексної інформації у стислій формі усно та письмово, використовуючи інформаційно</w:t>
            </w:r>
            <w:r>
              <w:rPr>
                <w:sz w:val="24"/>
                <w:szCs w:val="24"/>
              </w:rPr>
              <w:t xml:space="preserve"> </w:t>
            </w:r>
            <w:r w:rsidRPr="000F68AC">
              <w:rPr>
                <w:sz w:val="24"/>
                <w:szCs w:val="24"/>
              </w:rPr>
              <w:t xml:space="preserve">комунікаційні технології та відповідні технічні терміни. </w:t>
            </w:r>
          </w:p>
          <w:p w14:paraId="29AB798D" w14:textId="77777777" w:rsid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F68AC">
              <w:rPr>
                <w:sz w:val="24"/>
                <w:szCs w:val="24"/>
              </w:rPr>
              <w:t>Популяризаційні</w:t>
            </w:r>
            <w:proofErr w:type="spellEnd"/>
            <w:r w:rsidRPr="000F68AC">
              <w:rPr>
                <w:sz w:val="24"/>
                <w:szCs w:val="24"/>
              </w:rPr>
              <w:t xml:space="preserve"> навички (ЗК5). Здатність провести усну презентацію та написати зрозумілу статтю за результатами проведених досліджень, а також щодо сучасних концепцій в інформатиці для загальної публіки (не фахівців). Вміння спілкуватися із нефахівцями, застосовуючи навички викладання. </w:t>
            </w:r>
          </w:p>
          <w:p w14:paraId="13C6F3E2" w14:textId="25F7ACC3" w:rsid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 xml:space="preserve">Етичні установки (ЗК6). Дотримання етичних принципів як з погляду професійної чесності, так і з погляду розуміння можливого впливу досягнень  в галузі комп’ютерних наук та інформаційних технологій на соціальну сферу. </w:t>
            </w:r>
          </w:p>
          <w:p w14:paraId="55952079" w14:textId="77777777" w:rsid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>Суспільно-громадські установки</w:t>
            </w:r>
            <w:r>
              <w:rPr>
                <w:sz w:val="24"/>
                <w:szCs w:val="24"/>
              </w:rPr>
              <w:t xml:space="preserve"> </w:t>
            </w:r>
            <w:r w:rsidRPr="000F68AC">
              <w:rPr>
                <w:sz w:val="24"/>
                <w:szCs w:val="24"/>
              </w:rPr>
              <w:t xml:space="preserve">(ЗК7). Здатність реалізовувати свої права і обов’язки як члена суспільства, усвідомлювати цінності громадського (вільного демократичного) суспільства та необхідність його сталого розвитку, верховенства права, прав і свобод людини і громадянина України.  </w:t>
            </w:r>
          </w:p>
          <w:p w14:paraId="0A3ACEF0" w14:textId="5B5E8EB2" w:rsidR="00805F46" w:rsidRPr="000F68AC" w:rsidRDefault="000F68AC" w:rsidP="000F68AC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>Моральні, культурні та наукові цінності (ЗК8).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0D21887E" w14:textId="12F0523D" w:rsidR="00805F46" w:rsidRPr="00A0480E" w:rsidRDefault="00805F46" w:rsidP="00805F46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A0480E">
              <w:rPr>
                <w:rFonts w:eastAsia="Arial Unicode MS"/>
                <w:b/>
                <w:i/>
                <w:sz w:val="24"/>
                <w:szCs w:val="24"/>
              </w:rPr>
              <w:t xml:space="preserve">2. Фахові компетентності: </w:t>
            </w:r>
          </w:p>
          <w:p w14:paraId="63433C0A" w14:textId="44DC6908" w:rsidR="00805F46" w:rsidRDefault="000F68AC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F68AC">
              <w:rPr>
                <w:rFonts w:eastAsia="Arial Unicode MS"/>
                <w:sz w:val="24"/>
                <w:szCs w:val="24"/>
              </w:rPr>
              <w:t xml:space="preserve">Розвинуті комунікаційні навички (ФК6). Здатність </w:t>
            </w:r>
            <w:proofErr w:type="spellStart"/>
            <w:r w:rsidRPr="000F68AC">
              <w:rPr>
                <w:rFonts w:eastAsia="Arial Unicode MS"/>
                <w:sz w:val="24"/>
                <w:szCs w:val="24"/>
              </w:rPr>
              <w:t>комунікувати</w:t>
            </w:r>
            <w:proofErr w:type="spellEnd"/>
            <w:r w:rsidRPr="000F68AC">
              <w:rPr>
                <w:rFonts w:eastAsia="Arial Unicode MS"/>
                <w:sz w:val="24"/>
                <w:szCs w:val="24"/>
              </w:rPr>
              <w:t xml:space="preserve"> із колегами даної галузі щодо наукових досягнень як на загальному рівні, так і на рівні спеціалістів, здатність робити усні та письмові звіти, обговорювати наукові теми рідною та англійською мовами. Здатність ефективно використовувати на практиці різні теорії в галузі комунікації. Здатність розуміти шляхи практичного використання комунікаційних навичок, ефективно застосовуючи комунікаційні концепції. Розуміння факторів, які позитивно чи негативно впливають на комунікацію, та здатність визначати чи враховувати ці фактори в конкретних комунікаційних ситуаціях.  </w:t>
            </w:r>
          </w:p>
          <w:p w14:paraId="56B61FE9" w14:textId="0EEE8AD0" w:rsidR="000F68AC" w:rsidRPr="00A0480E" w:rsidRDefault="000F68AC" w:rsidP="00805F46">
            <w:pPr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</w:rPr>
              <w:t>Викладацькі навички (ФК10). Здатність ефективно застосовувати основні педагогічні концепції, аналізувати методи, за якими викладацькі методи використовують на практиці. Здатність бути наставником молодших колег у вдосконаленні викладацької майстерності. Уміти ефективно поєднувати різні технології та інструменти навчання (включаючи електронне, дистанційне навчання).</w:t>
            </w:r>
          </w:p>
          <w:p w14:paraId="3FF82A9A" w14:textId="6B24E510" w:rsidR="00805F46" w:rsidRPr="00A0480E" w:rsidRDefault="00805F46" w:rsidP="001C3D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09067F54" w14:textId="028D8FFF" w:rsidR="001C3D7A" w:rsidRDefault="00D9635B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  <w:r w:rsidRPr="00A0480E">
              <w:rPr>
                <w:b/>
                <w:bCs/>
                <w:sz w:val="28"/>
              </w:rPr>
              <w:lastRenderedPageBreak/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0BD9DEB1" w14:textId="1B21445F" w:rsidR="000F68AC" w:rsidRPr="00A0480E" w:rsidRDefault="000F68AC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ПРН1</w:t>
            </w:r>
          </w:p>
          <w:p w14:paraId="0D57809C" w14:textId="663B9901" w:rsidR="000F68AC" w:rsidRDefault="000F68AC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68AC">
              <w:rPr>
                <w:sz w:val="24"/>
                <w:szCs w:val="24"/>
                <w:lang w:eastAsia="ru-RU"/>
              </w:rPr>
              <w:t xml:space="preserve">− здатність розуміти і аналізувати наукові публікації за обраною спеціалізацією, відслідковувати найновіші досягнення за спеціалізацією; </w:t>
            </w:r>
          </w:p>
          <w:p w14:paraId="1769B593" w14:textId="087A7990" w:rsidR="000F68AC" w:rsidRPr="000F68AC" w:rsidRDefault="000F68AC" w:rsidP="000F68AC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ПРН</w:t>
            </w:r>
            <w:r>
              <w:rPr>
                <w:b/>
                <w:bCs/>
                <w:sz w:val="28"/>
              </w:rPr>
              <w:t>4</w:t>
            </w:r>
          </w:p>
          <w:p w14:paraId="2B11EB9E" w14:textId="77777777" w:rsidR="000F68AC" w:rsidRDefault="000F68AC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68AC">
              <w:rPr>
                <w:sz w:val="24"/>
                <w:szCs w:val="24"/>
                <w:lang w:eastAsia="ru-RU"/>
              </w:rPr>
              <w:t xml:space="preserve">− уміти здійснювати пошук наукових джерел, які належать до сфери професійної діяльності; </w:t>
            </w:r>
          </w:p>
          <w:p w14:paraId="65651D0C" w14:textId="77777777" w:rsidR="000F68AC" w:rsidRDefault="000F68AC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68AC">
              <w:rPr>
                <w:sz w:val="24"/>
                <w:szCs w:val="24"/>
                <w:lang w:eastAsia="ru-RU"/>
              </w:rPr>
              <w:t xml:space="preserve">− здатність формувати стійкий світогляд, плюралізм, політичну свідомість та культуру; правильне сприйняття сучасних проблем розвитку суспільства, людського буття, духовної культури; </w:t>
            </w:r>
          </w:p>
          <w:p w14:paraId="34681C85" w14:textId="77777777" w:rsidR="000F68AC" w:rsidRDefault="000F68AC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F68AC">
              <w:rPr>
                <w:sz w:val="24"/>
                <w:szCs w:val="24"/>
                <w:lang w:eastAsia="ru-RU"/>
              </w:rPr>
              <w:t xml:space="preserve">− здатність до ефективної комунікаційної взаємодії, здорового способу життя, засвоєння нових знань, самовдосконалення; </w:t>
            </w:r>
          </w:p>
          <w:p w14:paraId="130A6627" w14:textId="0ABBD979" w:rsidR="005D74A1" w:rsidRPr="00A0480E" w:rsidRDefault="000F68AC" w:rsidP="001C3D7A">
            <w:pPr>
              <w:adjustRightInd w:val="0"/>
              <w:jc w:val="both"/>
              <w:rPr>
                <w:sz w:val="24"/>
                <w:szCs w:val="24"/>
              </w:rPr>
            </w:pPr>
            <w:r w:rsidRPr="000F68AC">
              <w:rPr>
                <w:sz w:val="24"/>
                <w:szCs w:val="24"/>
                <w:lang w:eastAsia="ru-RU"/>
              </w:rPr>
              <w:t>− розуміти особливості організації та управління навчальною діяльністю у вищій школі.</w:t>
            </w:r>
          </w:p>
        </w:tc>
      </w:tr>
    </w:tbl>
    <w:p w14:paraId="6C273EAC" w14:textId="18EB3D42" w:rsidR="005D74A1" w:rsidRDefault="005D74A1">
      <w:pPr>
        <w:spacing w:before="8"/>
        <w:rPr>
          <w:b/>
          <w:sz w:val="27"/>
        </w:rPr>
      </w:pPr>
    </w:p>
    <w:p w14:paraId="1399B943" w14:textId="0B65003B" w:rsidR="00847E2D" w:rsidRDefault="00847E2D">
      <w:pPr>
        <w:spacing w:before="8"/>
        <w:rPr>
          <w:b/>
          <w:sz w:val="27"/>
        </w:rPr>
      </w:pPr>
    </w:p>
    <w:p w14:paraId="3CC69673" w14:textId="29868A67" w:rsidR="00847E2D" w:rsidRDefault="00847E2D">
      <w:pPr>
        <w:spacing w:before="8"/>
        <w:rPr>
          <w:b/>
          <w:sz w:val="27"/>
        </w:rPr>
      </w:pPr>
    </w:p>
    <w:p w14:paraId="297855FB" w14:textId="08873961" w:rsidR="00847E2D" w:rsidRDefault="00847E2D">
      <w:pPr>
        <w:spacing w:before="8"/>
        <w:rPr>
          <w:b/>
          <w:sz w:val="27"/>
        </w:rPr>
      </w:pPr>
    </w:p>
    <w:p w14:paraId="46B104BF" w14:textId="100FEA4F" w:rsidR="00847E2D" w:rsidRDefault="00847E2D">
      <w:pPr>
        <w:spacing w:before="8"/>
        <w:rPr>
          <w:b/>
          <w:sz w:val="27"/>
        </w:rPr>
      </w:pPr>
    </w:p>
    <w:p w14:paraId="4D9C80C9" w14:textId="08057FAE" w:rsidR="00847E2D" w:rsidRDefault="00847E2D">
      <w:pPr>
        <w:spacing w:before="8"/>
        <w:rPr>
          <w:b/>
          <w:sz w:val="27"/>
        </w:rPr>
      </w:pPr>
    </w:p>
    <w:p w14:paraId="55FFF5D3" w14:textId="578681A8" w:rsidR="00847E2D" w:rsidRDefault="00847E2D">
      <w:pPr>
        <w:spacing w:before="8"/>
        <w:rPr>
          <w:b/>
          <w:sz w:val="27"/>
        </w:rPr>
      </w:pPr>
    </w:p>
    <w:p w14:paraId="5E28FA59" w14:textId="65190CE2" w:rsidR="00847E2D" w:rsidRDefault="00847E2D">
      <w:pPr>
        <w:spacing w:before="8"/>
        <w:rPr>
          <w:b/>
          <w:sz w:val="27"/>
        </w:rPr>
      </w:pPr>
    </w:p>
    <w:p w14:paraId="0D10312B" w14:textId="413AE3C9" w:rsidR="00847E2D" w:rsidRDefault="00847E2D">
      <w:pPr>
        <w:spacing w:before="8"/>
        <w:rPr>
          <w:b/>
          <w:sz w:val="27"/>
        </w:rPr>
      </w:pPr>
    </w:p>
    <w:p w14:paraId="0B417375" w14:textId="68F71662" w:rsidR="00847E2D" w:rsidRDefault="00847E2D">
      <w:pPr>
        <w:spacing w:before="8"/>
        <w:rPr>
          <w:b/>
          <w:sz w:val="27"/>
        </w:rPr>
      </w:pPr>
    </w:p>
    <w:p w14:paraId="6A22A75C" w14:textId="4E7B54A1" w:rsidR="00847E2D" w:rsidRDefault="00847E2D">
      <w:pPr>
        <w:spacing w:before="8"/>
        <w:rPr>
          <w:b/>
          <w:sz w:val="27"/>
        </w:rPr>
      </w:pPr>
    </w:p>
    <w:p w14:paraId="6C6A8704" w14:textId="4DCA9F2F" w:rsidR="00847E2D" w:rsidRDefault="00847E2D">
      <w:pPr>
        <w:spacing w:before="8"/>
        <w:rPr>
          <w:b/>
          <w:sz w:val="27"/>
        </w:rPr>
      </w:pPr>
    </w:p>
    <w:p w14:paraId="7149BC4B" w14:textId="34C96A81" w:rsidR="00847E2D" w:rsidRDefault="00847E2D">
      <w:pPr>
        <w:spacing w:before="8"/>
        <w:rPr>
          <w:b/>
          <w:sz w:val="27"/>
        </w:rPr>
      </w:pPr>
    </w:p>
    <w:p w14:paraId="2E07A803" w14:textId="76C54A10" w:rsidR="00847E2D" w:rsidRDefault="00847E2D">
      <w:pPr>
        <w:spacing w:before="8"/>
        <w:rPr>
          <w:b/>
          <w:sz w:val="27"/>
        </w:rPr>
      </w:pPr>
    </w:p>
    <w:p w14:paraId="09B732E4" w14:textId="5427F7AB" w:rsidR="00847E2D" w:rsidRDefault="00847E2D">
      <w:pPr>
        <w:spacing w:before="8"/>
        <w:rPr>
          <w:b/>
          <w:sz w:val="27"/>
        </w:rPr>
      </w:pPr>
    </w:p>
    <w:p w14:paraId="1C5546B8" w14:textId="0E86D464" w:rsidR="00847E2D" w:rsidRDefault="00847E2D">
      <w:pPr>
        <w:spacing w:before="8"/>
        <w:rPr>
          <w:b/>
          <w:sz w:val="27"/>
        </w:rPr>
      </w:pPr>
    </w:p>
    <w:p w14:paraId="658EC81C" w14:textId="319FB476" w:rsidR="00847E2D" w:rsidRDefault="00847E2D">
      <w:pPr>
        <w:spacing w:before="8"/>
        <w:rPr>
          <w:b/>
          <w:sz w:val="27"/>
        </w:rPr>
      </w:pPr>
    </w:p>
    <w:p w14:paraId="56DAE7FC" w14:textId="27029593" w:rsidR="00847E2D" w:rsidRDefault="00847E2D">
      <w:pPr>
        <w:spacing w:before="8"/>
        <w:rPr>
          <w:b/>
          <w:sz w:val="27"/>
        </w:rPr>
      </w:pPr>
    </w:p>
    <w:p w14:paraId="2930F8E1" w14:textId="56C8865C" w:rsidR="00847E2D" w:rsidRDefault="00847E2D">
      <w:pPr>
        <w:spacing w:before="8"/>
        <w:rPr>
          <w:b/>
          <w:sz w:val="27"/>
        </w:rPr>
      </w:pPr>
    </w:p>
    <w:p w14:paraId="65D76138" w14:textId="12B98D78" w:rsidR="00847E2D" w:rsidRDefault="00847E2D">
      <w:pPr>
        <w:spacing w:before="8"/>
        <w:rPr>
          <w:b/>
          <w:sz w:val="27"/>
        </w:rPr>
      </w:pPr>
    </w:p>
    <w:p w14:paraId="7374EC30" w14:textId="6795E519" w:rsidR="00847E2D" w:rsidRDefault="00847E2D">
      <w:pPr>
        <w:spacing w:before="8"/>
        <w:rPr>
          <w:b/>
          <w:sz w:val="27"/>
        </w:rPr>
      </w:pPr>
    </w:p>
    <w:p w14:paraId="7C82CD11" w14:textId="4101EEFA" w:rsidR="00847E2D" w:rsidRDefault="00847E2D">
      <w:pPr>
        <w:spacing w:before="8"/>
        <w:rPr>
          <w:b/>
          <w:sz w:val="27"/>
        </w:rPr>
      </w:pPr>
    </w:p>
    <w:p w14:paraId="0239B295" w14:textId="7A84B5B9" w:rsidR="00847E2D" w:rsidRDefault="00847E2D">
      <w:pPr>
        <w:spacing w:before="8"/>
        <w:rPr>
          <w:b/>
          <w:sz w:val="27"/>
        </w:rPr>
      </w:pPr>
    </w:p>
    <w:p w14:paraId="503C71DF" w14:textId="39E94590" w:rsidR="00847E2D" w:rsidRDefault="00847E2D">
      <w:pPr>
        <w:spacing w:before="8"/>
        <w:rPr>
          <w:b/>
          <w:sz w:val="27"/>
        </w:rPr>
      </w:pPr>
    </w:p>
    <w:p w14:paraId="451E7F14" w14:textId="3DFDECF8" w:rsidR="00847E2D" w:rsidRDefault="00847E2D">
      <w:pPr>
        <w:spacing w:before="8"/>
        <w:rPr>
          <w:b/>
          <w:sz w:val="27"/>
        </w:rPr>
      </w:pPr>
    </w:p>
    <w:p w14:paraId="5178C39B" w14:textId="20F4DF29" w:rsidR="00847E2D" w:rsidRDefault="00847E2D">
      <w:pPr>
        <w:spacing w:before="8"/>
        <w:rPr>
          <w:b/>
          <w:sz w:val="27"/>
        </w:rPr>
      </w:pPr>
    </w:p>
    <w:p w14:paraId="6D21F72B" w14:textId="4B140D34" w:rsidR="00847E2D" w:rsidRDefault="00847E2D">
      <w:pPr>
        <w:spacing w:before="8"/>
        <w:rPr>
          <w:b/>
          <w:sz w:val="27"/>
        </w:rPr>
      </w:pPr>
    </w:p>
    <w:p w14:paraId="5B4B62F9" w14:textId="7620D78D" w:rsidR="00847E2D" w:rsidRDefault="00847E2D">
      <w:pPr>
        <w:spacing w:before="8"/>
        <w:rPr>
          <w:b/>
          <w:sz w:val="27"/>
        </w:rPr>
      </w:pPr>
    </w:p>
    <w:p w14:paraId="64FA280B" w14:textId="6BDF1685" w:rsidR="00847E2D" w:rsidRDefault="00847E2D">
      <w:pPr>
        <w:spacing w:before="8"/>
        <w:rPr>
          <w:b/>
          <w:sz w:val="27"/>
        </w:rPr>
      </w:pPr>
    </w:p>
    <w:p w14:paraId="686FD510" w14:textId="254DC49E" w:rsidR="00847E2D" w:rsidRDefault="00847E2D">
      <w:pPr>
        <w:spacing w:before="8"/>
        <w:rPr>
          <w:b/>
          <w:sz w:val="27"/>
        </w:rPr>
      </w:pPr>
    </w:p>
    <w:p w14:paraId="337CBA44" w14:textId="53028683" w:rsidR="00847E2D" w:rsidRDefault="00847E2D">
      <w:pPr>
        <w:spacing w:before="8"/>
        <w:rPr>
          <w:b/>
          <w:sz w:val="27"/>
        </w:rPr>
      </w:pPr>
    </w:p>
    <w:p w14:paraId="22EF3831" w14:textId="4E4B7928" w:rsidR="00847E2D" w:rsidRDefault="00847E2D">
      <w:pPr>
        <w:spacing w:before="8"/>
        <w:rPr>
          <w:b/>
          <w:sz w:val="27"/>
        </w:rPr>
      </w:pPr>
    </w:p>
    <w:p w14:paraId="4073C6B4" w14:textId="349AB2B2" w:rsidR="00847E2D" w:rsidRDefault="00847E2D">
      <w:pPr>
        <w:spacing w:before="8"/>
        <w:rPr>
          <w:b/>
          <w:sz w:val="27"/>
        </w:rPr>
      </w:pPr>
    </w:p>
    <w:p w14:paraId="2DC61F32" w14:textId="24A79469" w:rsidR="00847E2D" w:rsidRDefault="00847E2D">
      <w:pPr>
        <w:spacing w:before="8"/>
        <w:rPr>
          <w:b/>
          <w:sz w:val="27"/>
        </w:rPr>
      </w:pPr>
    </w:p>
    <w:p w14:paraId="4BF5526A" w14:textId="1D679748" w:rsidR="00847E2D" w:rsidRDefault="00847E2D">
      <w:pPr>
        <w:spacing w:before="8"/>
        <w:rPr>
          <w:b/>
          <w:sz w:val="27"/>
        </w:rPr>
      </w:pPr>
    </w:p>
    <w:p w14:paraId="2A2378C7" w14:textId="2DDD390B" w:rsidR="00847E2D" w:rsidRDefault="00847E2D">
      <w:pPr>
        <w:spacing w:before="8"/>
        <w:rPr>
          <w:b/>
          <w:sz w:val="27"/>
        </w:rPr>
      </w:pPr>
    </w:p>
    <w:p w14:paraId="1AE2312B" w14:textId="7284EDC0" w:rsidR="00847E2D" w:rsidRDefault="00847E2D">
      <w:pPr>
        <w:spacing w:before="8"/>
        <w:rPr>
          <w:b/>
          <w:sz w:val="27"/>
        </w:rPr>
      </w:pPr>
    </w:p>
    <w:p w14:paraId="547AA1CE" w14:textId="7F9E4615" w:rsidR="00847E2D" w:rsidRDefault="00847E2D">
      <w:pPr>
        <w:spacing w:before="8"/>
        <w:rPr>
          <w:b/>
          <w:sz w:val="27"/>
        </w:rPr>
      </w:pPr>
    </w:p>
    <w:p w14:paraId="75F38332" w14:textId="77777777" w:rsidR="00847E2D" w:rsidRPr="00A0480E" w:rsidRDefault="00847E2D">
      <w:pPr>
        <w:spacing w:before="8"/>
        <w:rPr>
          <w:b/>
          <w:sz w:val="27"/>
        </w:rPr>
      </w:pPr>
    </w:p>
    <w:p w14:paraId="389C34C9" w14:textId="1305A316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07"/>
        <w:gridCol w:w="850"/>
        <w:gridCol w:w="3828"/>
        <w:gridCol w:w="2451"/>
      </w:tblGrid>
      <w:tr w:rsidR="00A0480E" w:rsidRPr="00A0480E" w14:paraId="2692D4CA" w14:textId="77777777" w:rsidTr="00BC49C9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847E2D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757" w:type="dxa"/>
            <w:gridSpan w:val="2"/>
          </w:tcPr>
          <w:p w14:paraId="6ABCBFF0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3828" w:type="dxa"/>
          </w:tcPr>
          <w:p w14:paraId="661C4A5A" w14:textId="77777777" w:rsidR="005D74A1" w:rsidRPr="00A0480E" w:rsidRDefault="00D9635B" w:rsidP="00847E2D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0480E" w:rsidRPr="00A0480E" w14:paraId="3D3FE4BB" w14:textId="77777777" w:rsidTr="00220A30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D74A1" w:rsidRPr="00A0480E" w:rsidRDefault="00D9635B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679259C" w14:textId="764D65EA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>Пошуки роботи. Граматичні особливості фахово-орієнтованих текстів.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0F24348" w14:textId="1CB442A8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</w:t>
            </w:r>
            <w:r w:rsidR="00DD65CA" w:rsidRPr="00A0480E">
              <w:rPr>
                <w:sz w:val="24"/>
                <w:szCs w:val="24"/>
                <w:lang w:eastAsia="ru-RU"/>
              </w:rPr>
              <w:t xml:space="preserve"> (діалогічне та монологічне мовлення)</w:t>
            </w:r>
            <w:r w:rsidRPr="00A0480E">
              <w:rPr>
                <w:sz w:val="24"/>
                <w:szCs w:val="24"/>
                <w:lang w:eastAsia="ru-RU"/>
              </w:rPr>
              <w:t>;</w:t>
            </w:r>
          </w:p>
          <w:p w14:paraId="143D958E" w14:textId="2BCE60E1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</w:t>
            </w:r>
            <w:r w:rsidR="00DD65CA" w:rsidRPr="00A0480E">
              <w:rPr>
                <w:sz w:val="24"/>
                <w:szCs w:val="24"/>
                <w:lang w:eastAsia="ru-RU"/>
              </w:rPr>
              <w:t>;</w:t>
            </w:r>
          </w:p>
          <w:p w14:paraId="4FE833FE" w14:textId="563EB032" w:rsidR="00DD65CA" w:rsidRPr="00A0480E" w:rsidRDefault="00DD65C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DF27D74" w14:textId="481ECED9" w:rsidR="005D74A1" w:rsidRPr="00A0480E" w:rsidRDefault="0068331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70A47AF4" w14:textId="0B7F3B1F" w:rsidR="00DD65CA" w:rsidRPr="00A0480E" w:rsidRDefault="0068331A" w:rsidP="000D5611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0D5611">
              <w:rPr>
                <w:bCs/>
                <w:sz w:val="24"/>
                <w:szCs w:val="24"/>
                <w:lang w:eastAsia="ru-RU"/>
              </w:rPr>
              <w:t>граматичні структури англійської мови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EF7D66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270961D2" w14:textId="77777777" w:rsidTr="00220A30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2447D488" w:rsidR="001C3D7A" w:rsidRPr="00220A30" w:rsidRDefault="00220A30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220A30">
              <w:rPr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2F97CB14" w14:textId="69977DDE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6D567E54" w14:textId="4B540E62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1A49ED5" w14:textId="25423EF7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</w:t>
            </w:r>
            <w:r w:rsidR="008F4C32" w:rsidRPr="00A048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9766357" w14:textId="403B5948" w:rsidR="008F4C32" w:rsidRDefault="008F4C32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3FDD07E8" w14:textId="792CE19D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вміти писати резюме;</w:t>
            </w:r>
          </w:p>
          <w:p w14:paraId="2E8711DA" w14:textId="5F7D139A" w:rsidR="001C3D7A" w:rsidRPr="00A0480E" w:rsidRDefault="000D5611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знати </w:t>
            </w:r>
            <w:r w:rsidR="00BC49C9">
              <w:rPr>
                <w:sz w:val="24"/>
                <w:szCs w:val="24"/>
                <w:lang w:val="uk-UA"/>
              </w:rPr>
              <w:t>правила узгодження часів та вміти застосовувати у розмовній мові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3828B6E3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CC28D36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Діловий етикет.  Типові </w:t>
            </w:r>
            <w:proofErr w:type="spellStart"/>
            <w:r w:rsidRPr="00220A30">
              <w:rPr>
                <w:sz w:val="24"/>
                <w:szCs w:val="24"/>
              </w:rPr>
              <w:t>мовні</w:t>
            </w:r>
            <w:proofErr w:type="spellEnd"/>
            <w:r w:rsidRPr="00220A30">
              <w:rPr>
                <w:sz w:val="24"/>
                <w:szCs w:val="24"/>
              </w:rPr>
              <w:t xml:space="preserve"> фрази для презентації себе і знайомства з іншими.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C3D7A" w:rsidRPr="00A0480E" w:rsidRDefault="008F4C32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8F4C32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09DB3D2F" w14:textId="46DC32FF" w:rsidR="002A25FA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вміти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представлчти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себе та оточуючих;</w:t>
            </w:r>
          </w:p>
          <w:p w14:paraId="4ED0765B" w14:textId="49D84BA8" w:rsidR="00A0480E" w:rsidRPr="00A0480E" w:rsidRDefault="00A0480E" w:rsidP="00847E2D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8DFCD32" w14:textId="77777777" w:rsidTr="00220A30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5FEF2963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Ділові зустрічі. </w:t>
            </w:r>
            <w:r w:rsidRPr="00220A30">
              <w:rPr>
                <w:sz w:val="24"/>
                <w:szCs w:val="24"/>
              </w:rPr>
              <w:lastRenderedPageBreak/>
              <w:t>Граматичні особливості фахово-орієнтованого мовлення.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lastRenderedPageBreak/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63E55B4B" w14:textId="77777777" w:rsidR="004B202C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0EC29C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F0AC554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6EB5B7F8" w:rsidR="004B202C" w:rsidRPr="00A0480E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</w:t>
            </w:r>
            <w:r w:rsidRPr="00A0480E">
              <w:rPr>
                <w:sz w:val="24"/>
                <w:szCs w:val="24"/>
              </w:rPr>
              <w:lastRenderedPageBreak/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29D4C1E6" w14:textId="77777777" w:rsidTr="00220A30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4E792BFE" w:rsidR="001C3D7A" w:rsidRPr="00220A30" w:rsidRDefault="00220A30" w:rsidP="00847E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 xml:space="preserve">Засоби комунікації. </w:t>
            </w:r>
            <w:r w:rsidRPr="00220A30">
              <w:rPr>
                <w:sz w:val="24"/>
                <w:szCs w:val="24"/>
              </w:rPr>
              <w:t>Виконання лексико-граматичних вправ.</w:t>
            </w:r>
            <w:r w:rsidR="00BC49C9"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2738EBE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CC631D" w14:textId="77777777" w:rsidR="001C3D7A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2A25FA">
              <w:rPr>
                <w:sz w:val="24"/>
                <w:szCs w:val="24"/>
                <w:lang w:val="ru-RU"/>
              </w:rPr>
              <w:t>;</w:t>
            </w:r>
          </w:p>
          <w:p w14:paraId="76CFCF07" w14:textId="24BB4C3C" w:rsidR="002A25FA" w:rsidRPr="000D5611" w:rsidRDefault="002A25FA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C3D7A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F0BB047" w14:textId="77777777" w:rsidTr="00220A3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25EDB95D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Сучасна ділова кореспонденція.</w:t>
            </w:r>
            <w:r w:rsidRPr="00220A30">
              <w:rPr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FA91B58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758AE9E3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1D913F7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A2DFC8D" w14:textId="77777777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04F44EC7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написанні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C3D7A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4F906C81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23C7FCBF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 xml:space="preserve">Телефонний етикет. </w:t>
            </w:r>
            <w:proofErr w:type="spellStart"/>
            <w:r w:rsidRPr="00220A30">
              <w:rPr>
                <w:bCs/>
                <w:sz w:val="24"/>
                <w:szCs w:val="24"/>
              </w:rPr>
              <w:t>Мовні</w:t>
            </w:r>
            <w:proofErr w:type="spellEnd"/>
            <w:r w:rsidRPr="00220A30">
              <w:rPr>
                <w:bCs/>
                <w:sz w:val="24"/>
                <w:szCs w:val="24"/>
              </w:rPr>
              <w:t xml:space="preserve"> кліше телефонної розмови.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D24BA" w14:textId="6DD50F02" w:rsidR="001C3D7A" w:rsidRPr="00A0480E" w:rsidRDefault="00A0480E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В</w:t>
            </w:r>
            <w:r w:rsidR="002A25FA">
              <w:rPr>
                <w:rFonts w:eastAsia="Arial Unicode MS"/>
                <w:sz w:val="24"/>
                <w:szCs w:val="24"/>
              </w:rPr>
              <w:t>міти в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</w:t>
            </w:r>
            <w:r w:rsidRPr="00A0480E">
              <w:rPr>
                <w:rFonts w:eastAsia="Arial Unicode MS"/>
                <w:sz w:val="24"/>
                <w:szCs w:val="24"/>
              </w:rPr>
              <w:t>словлюват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 власну</w:t>
            </w:r>
            <w:r w:rsidR="002A25FA">
              <w:rPr>
                <w:rFonts w:eastAsia="Arial Unicode MS"/>
                <w:sz w:val="24"/>
                <w:szCs w:val="24"/>
              </w:rPr>
              <w:t xml:space="preserve"> думку під час </w:t>
            </w:r>
            <w:proofErr w:type="spellStart"/>
            <w:r w:rsidR="002A25FA">
              <w:rPr>
                <w:rFonts w:eastAsia="Arial Unicode MS"/>
                <w:sz w:val="24"/>
                <w:szCs w:val="24"/>
              </w:rPr>
              <w:t>телефоннох</w:t>
            </w:r>
            <w:proofErr w:type="spellEnd"/>
            <w:r w:rsidR="002A25FA">
              <w:rPr>
                <w:rFonts w:eastAsia="Arial Unicode MS"/>
                <w:sz w:val="24"/>
                <w:szCs w:val="24"/>
              </w:rPr>
              <w:t xml:space="preserve"> розмови</w:t>
            </w:r>
            <w:r w:rsidR="004B202C"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1D4F9172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5FA">
              <w:rPr>
                <w:sz w:val="24"/>
                <w:szCs w:val="24"/>
                <w:lang w:val="ru-RU"/>
              </w:rPr>
              <w:t>бесіду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2D4B63AB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</w:t>
            </w:r>
            <w:r w:rsidR="002A25FA">
              <w:rPr>
                <w:sz w:val="24"/>
                <w:szCs w:val="24"/>
                <w:lang w:val="ru-RU"/>
              </w:rPr>
              <w:t>слухану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r w:rsidRPr="00A0480E">
              <w:rPr>
                <w:sz w:val="24"/>
                <w:szCs w:val="24"/>
                <w:lang w:val="ru-RU"/>
              </w:rPr>
              <w:lastRenderedPageBreak/>
              <w:t xml:space="preserve">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0CB40204" w:rsidR="004B202C" w:rsidRPr="000D5611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</w:t>
            </w:r>
            <w:r w:rsidRPr="00A0480E">
              <w:rPr>
                <w:sz w:val="24"/>
                <w:szCs w:val="24"/>
              </w:rPr>
              <w:lastRenderedPageBreak/>
              <w:t>читання.</w:t>
            </w:r>
          </w:p>
          <w:p w14:paraId="3D6E20E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A80F05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D448C56" w14:textId="77777777" w:rsidTr="00220A30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7383F507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4FE39F9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3802E571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228EDAD" w14:textId="39E20759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B4EC4EB" w14:textId="2B7EC897" w:rsidR="001C3D7A" w:rsidRPr="000D5611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7E52836" w14:textId="7B98745D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0CA3EF9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5D0D13A8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Наукове спілкування.</w:t>
            </w:r>
            <w:r w:rsidRPr="00220A30">
              <w:rPr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26C2074A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2A25FA">
              <w:rPr>
                <w:sz w:val="24"/>
                <w:szCs w:val="24"/>
              </w:rPr>
              <w:t>граматичні конструкції</w:t>
            </w:r>
            <w:r w:rsidR="00BC49C9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1C3D7A" w:rsidRPr="00A0480E" w:rsidRDefault="001C3D7A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F8405E" w14:textId="7B363A44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7D5A3E8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A94169E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</w:rPr>
              <w:t>Структура та елементи науково-дослідницької роботи. Опрацювання лексики до теми.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E6B23" w14:textId="52DEC071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лексичний мінімум до теми;</w:t>
            </w:r>
          </w:p>
          <w:p w14:paraId="57E0F5C1" w14:textId="6D3593F9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працювати з науковою літературою</w:t>
            </w:r>
            <w:r w:rsidR="004B202C" w:rsidRPr="00A0480E">
              <w:rPr>
                <w:sz w:val="24"/>
                <w:szCs w:val="24"/>
                <w:lang w:eastAsia="ru-RU"/>
              </w:rPr>
              <w:t>;</w:t>
            </w:r>
          </w:p>
          <w:p w14:paraId="0E92D3FE" w14:textId="37BA43EF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</w:t>
            </w:r>
            <w:r w:rsidR="002A25FA">
              <w:rPr>
                <w:bCs/>
                <w:sz w:val="24"/>
                <w:szCs w:val="24"/>
                <w:lang w:eastAsia="ru-RU"/>
              </w:rPr>
              <w:t xml:space="preserve">науковому </w:t>
            </w:r>
            <w:r w:rsidRPr="00A0480E">
              <w:rPr>
                <w:bCs/>
                <w:sz w:val="24"/>
                <w:szCs w:val="24"/>
                <w:lang w:eastAsia="ru-RU"/>
              </w:rPr>
              <w:t>та професійному мовленні;</w:t>
            </w:r>
          </w:p>
          <w:p w14:paraId="52F33155" w14:textId="0B594147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елементи науково-дослідницької роботи та вміти використовувати їх при написанні наукової роботи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07039F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BCD94FB" w:rsidR="001C3D7A" w:rsidRPr="000C2149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Презентація проекту іноземною мовою. Створення </w:t>
            </w:r>
            <w:r w:rsidRPr="00220A30">
              <w:rPr>
                <w:sz w:val="24"/>
                <w:szCs w:val="24"/>
              </w:rPr>
              <w:lastRenderedPageBreak/>
              <w:t xml:space="preserve">презентації </w:t>
            </w:r>
            <w:r w:rsidRPr="00220A30">
              <w:rPr>
                <w:sz w:val="24"/>
                <w:szCs w:val="24"/>
                <w:lang w:val="en-US"/>
              </w:rPr>
              <w:t>Power</w:t>
            </w:r>
            <w:r w:rsidRPr="00220A30">
              <w:rPr>
                <w:sz w:val="24"/>
                <w:szCs w:val="24"/>
              </w:rPr>
              <w:t xml:space="preserve"> </w:t>
            </w:r>
            <w:r w:rsidRPr="00220A30">
              <w:rPr>
                <w:sz w:val="24"/>
                <w:szCs w:val="24"/>
                <w:lang w:val="en-US"/>
              </w:rPr>
              <w:t>Point</w:t>
            </w:r>
            <w:r w:rsidRPr="00220A30">
              <w:rPr>
                <w:sz w:val="24"/>
                <w:szCs w:val="24"/>
              </w:rPr>
              <w:t xml:space="preserve"> з використанням активної лексики до теми.</w:t>
            </w:r>
            <w:r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0A3B8D94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29B313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розуміти на слух тексти та діалоги за тематикою заняття;</w:t>
            </w:r>
          </w:p>
          <w:p w14:paraId="55EE9A9C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B3DE184" w14:textId="65949E2C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створювати презентації, використовуючи в</w:t>
            </w:r>
            <w:r w:rsidR="00ED2612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вчені теми та лексику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</w:t>
            </w:r>
            <w:r w:rsidRPr="00A0480E">
              <w:rPr>
                <w:sz w:val="24"/>
                <w:szCs w:val="24"/>
              </w:rPr>
              <w:lastRenderedPageBreak/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56F39A99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A7E97E7" w14:textId="77777777" w:rsidTr="00220A30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64FF52D7" w:rsidR="001C3D7A" w:rsidRPr="00220A30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Анотування та реферування статті іноземною мовою. Виконання лексико-граматичних вправ.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92C00" w14:textId="580E19F7" w:rsidR="004B202C" w:rsidRPr="00A0480E" w:rsidRDefault="00CC1A07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написати анотацію англійською мовою та реферувати тексти;</w:t>
            </w:r>
          </w:p>
          <w:p w14:paraId="36634F7C" w14:textId="5F28A0F2" w:rsidR="000D5611" w:rsidRPr="00A0480E" w:rsidRDefault="004B202C" w:rsidP="000D5611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2ADD3C44" w14:textId="43F50493" w:rsidR="001C3D7A" w:rsidRPr="00A0480E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136C7C9B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C3D7A" w:rsidRPr="00A0480E" w14:paraId="01796B4D" w14:textId="77777777" w:rsidTr="00220A30">
        <w:trPr>
          <w:trHeight w:val="16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438B84C0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131CC26C" w:rsidR="001C3D7A" w:rsidRPr="00220A30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8981C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E302ECE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9807D5D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378C3AEA" w14:textId="2575197F" w:rsidR="002A25FA" w:rsidRPr="00220A30" w:rsidRDefault="002A25FA" w:rsidP="00220A30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виокремлювати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структури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807680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F4EDFF9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FF31445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9BCF7C1" w14:textId="0B5D797B" w:rsidR="001C3D7A" w:rsidRPr="000D5611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425D70F6" w14:textId="77777777" w:rsidTr="00220A30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64D269" w14:textId="78A1F2E9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0CE8D62C" w14:textId="24A10AB3" w:rsidR="00220A30" w:rsidRPr="00CC1A07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CC1A07">
              <w:rPr>
                <w:sz w:val="24"/>
                <w:szCs w:val="24"/>
              </w:rPr>
              <w:t>Робота над доповіддю. Написання тез до доповіді.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69C7C" w14:textId="77777777" w:rsidR="002A25FA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01DDFAAC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3BE63FBF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B286320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B6D0929" w14:textId="276F79D9" w:rsidR="00220A30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0A121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963DA5C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6BCE08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5460F" w14:textId="66FD699C" w:rsidR="00220A30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1CB7F6A7" w14:textId="77777777" w:rsidTr="00220A30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76578B" w14:textId="6C3D20A6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A094DE8" w14:textId="4B292548" w:rsidR="00220A30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Підсумковий контроль. Модульна контрольна робота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FE9207" w14:textId="0D46B935" w:rsidR="00220A30" w:rsidRDefault="00220A30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6BB94B" w14:textId="77777777" w:rsidR="00CC1A07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0E34DABB" w14:textId="77777777" w:rsidR="00220A30" w:rsidRPr="00A0480E" w:rsidRDefault="00220A30" w:rsidP="00BC49C9">
            <w:pPr>
              <w:pStyle w:val="TableParagraph"/>
              <w:tabs>
                <w:tab w:val="left" w:pos="135"/>
                <w:tab w:val="left" w:pos="743"/>
                <w:tab w:val="left" w:pos="744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03AC709F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BC49C9">
              <w:rPr>
                <w:bCs/>
                <w:iCs/>
                <w:sz w:val="24"/>
                <w:szCs w:val="24"/>
                <w:lang w:val="ru-RU"/>
              </w:rPr>
              <w:t>1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26969F18" w:rsidR="00A0480E" w:rsidRDefault="00A0480E">
      <w:pPr>
        <w:spacing w:before="10"/>
        <w:rPr>
          <w:b/>
          <w:sz w:val="29"/>
        </w:rPr>
      </w:pPr>
    </w:p>
    <w:p w14:paraId="7B62304F" w14:textId="00E449AE" w:rsidR="000D5611" w:rsidRDefault="000D5611">
      <w:pPr>
        <w:spacing w:before="10"/>
        <w:rPr>
          <w:b/>
          <w:sz w:val="29"/>
        </w:rPr>
      </w:pPr>
    </w:p>
    <w:p w14:paraId="50EB38CE" w14:textId="6AEF1133" w:rsidR="000D5611" w:rsidRDefault="000D5611">
      <w:pPr>
        <w:spacing w:before="10"/>
        <w:rPr>
          <w:b/>
          <w:sz w:val="29"/>
        </w:rPr>
      </w:pPr>
    </w:p>
    <w:p w14:paraId="7073B913" w14:textId="22900F4E" w:rsidR="000D5611" w:rsidRDefault="000D5611">
      <w:pPr>
        <w:spacing w:before="10"/>
        <w:rPr>
          <w:b/>
          <w:sz w:val="29"/>
        </w:rPr>
      </w:pPr>
    </w:p>
    <w:p w14:paraId="0BA7F17D" w14:textId="44E80D32" w:rsidR="000D5611" w:rsidRDefault="000D5611">
      <w:pPr>
        <w:spacing w:before="10"/>
        <w:rPr>
          <w:b/>
          <w:sz w:val="29"/>
        </w:rPr>
      </w:pPr>
    </w:p>
    <w:p w14:paraId="154F0744" w14:textId="77777777" w:rsidR="000D5611" w:rsidRDefault="000D5611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>», «2</w:t>
      </w:r>
      <w:proofErr w:type="gramStart"/>
      <w:r w:rsidRPr="00A0480E">
        <w:rPr>
          <w:b/>
          <w:bCs/>
          <w:sz w:val="24"/>
          <w:szCs w:val="24"/>
          <w:lang w:val="ru-RU"/>
        </w:rPr>
        <w:t>»,  (</w:t>
      </w:r>
      <w:proofErr w:type="gramEnd"/>
      <w:r w:rsidRPr="00A0480E">
        <w:rPr>
          <w:b/>
          <w:bCs/>
          <w:sz w:val="24"/>
          <w:szCs w:val="24"/>
          <w:lang w:val="ru-RU"/>
        </w:rPr>
        <w:t xml:space="preserve">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t>Ресурсне</w:t>
      </w:r>
      <w:r w:rsidRPr="00847E2D">
        <w:rPr>
          <w:b/>
          <w:spacing w:val="-8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забезпечення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 w:rsidTr="00220A30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220A30" w:rsidRPr="00A0480E" w14:paraId="4D59897B" w14:textId="77777777" w:rsidTr="00220A30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729A7409" w14:textId="77777777" w:rsidR="00220A30" w:rsidRPr="00220A30" w:rsidRDefault="00220A30" w:rsidP="00220A30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  <w:lang w:val="de-DE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2A627E4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proofErr w:type="spellStart"/>
            <w:r w:rsidRPr="00220A30">
              <w:t>Богацький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І</w:t>
            </w:r>
            <w:r w:rsidRPr="00220A30">
              <w:rPr>
                <w:lang w:val="de-DE"/>
              </w:rPr>
              <w:t>.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Дюканова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Н</w:t>
            </w:r>
            <w:r w:rsidRPr="00220A30">
              <w:rPr>
                <w:lang w:val="de-DE"/>
              </w:rPr>
              <w:t>.</w:t>
            </w:r>
            <w:r w:rsidRPr="00220A30">
              <w:t>М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Бізнес</w:t>
            </w:r>
            <w:proofErr w:type="spellEnd"/>
            <w:r w:rsidRPr="00220A30">
              <w:rPr>
                <w:lang w:val="de-DE"/>
              </w:rPr>
              <w:t>-</w:t>
            </w:r>
            <w:r w:rsidRPr="00220A30">
              <w:t>курс</w:t>
            </w:r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англійської</w:t>
            </w:r>
            <w:proofErr w:type="spellEnd"/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мови</w:t>
            </w:r>
            <w:proofErr w:type="spellEnd"/>
            <w:r w:rsidRPr="00220A30">
              <w:rPr>
                <w:lang w:val="de-DE"/>
              </w:rPr>
              <w:t xml:space="preserve">. — </w:t>
            </w:r>
            <w:r w:rsidRPr="00220A30">
              <w:t>К</w:t>
            </w:r>
            <w:r w:rsidRPr="00220A30">
              <w:rPr>
                <w:lang w:val="de-DE"/>
              </w:rPr>
              <w:t xml:space="preserve">.: </w:t>
            </w:r>
            <w:r w:rsidRPr="00220A30">
              <w:t>ТОВ</w:t>
            </w:r>
            <w:r w:rsidRPr="00220A30">
              <w:rPr>
                <w:lang w:val="de-DE"/>
              </w:rPr>
              <w:t xml:space="preserve"> ”</w:t>
            </w:r>
            <w:r w:rsidRPr="00220A30">
              <w:t>ВП</w:t>
            </w:r>
            <w:r w:rsidRPr="00220A30">
              <w:rPr>
                <w:lang w:val="de-DE"/>
              </w:rPr>
              <w:t xml:space="preserve"> </w:t>
            </w:r>
            <w:r w:rsidRPr="00220A30">
              <w:t>Логос</w:t>
            </w:r>
            <w:r w:rsidRPr="00220A30">
              <w:rPr>
                <w:lang w:val="de-DE"/>
              </w:rPr>
              <w:t>-</w:t>
            </w:r>
            <w:r w:rsidRPr="00220A30">
              <w:t>М</w:t>
            </w:r>
            <w:r w:rsidRPr="00220A30">
              <w:rPr>
                <w:lang w:val="de-DE"/>
              </w:rPr>
              <w:t xml:space="preserve">”, 2009. — 352 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</w:p>
          <w:p w14:paraId="1F93FB5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r w:rsidRPr="00220A30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0B1EB26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t>Кнодель</w:t>
            </w:r>
            <w:proofErr w:type="spellEnd"/>
            <w:r w:rsidRPr="00220A30">
              <w:t xml:space="preserve"> Л.В. </w:t>
            </w:r>
            <w:proofErr w:type="spellStart"/>
            <w:r w:rsidRPr="00220A30">
              <w:t>Англійська</w:t>
            </w:r>
            <w:proofErr w:type="spellEnd"/>
            <w:r w:rsidRPr="00220A30">
              <w:t xml:space="preserve"> </w:t>
            </w:r>
            <w:proofErr w:type="spellStart"/>
            <w:r w:rsidRPr="00220A30">
              <w:t>мова</w:t>
            </w:r>
            <w:proofErr w:type="spellEnd"/>
            <w:r w:rsidRPr="00220A30">
              <w:t xml:space="preserve"> для </w:t>
            </w:r>
            <w:proofErr w:type="spellStart"/>
            <w:r w:rsidRPr="00220A30">
              <w:t>магістрів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Навч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посіб</w:t>
            </w:r>
            <w:proofErr w:type="spellEnd"/>
            <w:r w:rsidRPr="00220A30">
              <w:t xml:space="preserve">. – К.: </w:t>
            </w:r>
            <w:proofErr w:type="spellStart"/>
            <w:r w:rsidRPr="00220A30">
              <w:t>Вид.ПАЛИВОДА</w:t>
            </w:r>
            <w:proofErr w:type="spellEnd"/>
            <w:r w:rsidRPr="00220A30">
              <w:t xml:space="preserve"> А.В., 2008. – 336 с.</w:t>
            </w:r>
          </w:p>
          <w:p w14:paraId="33AF7CFA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rPr>
                <w:lang w:val="uk-UA"/>
              </w:rPr>
              <w:t>Тарнопольський</w:t>
            </w:r>
            <w:proofErr w:type="spellEnd"/>
            <w:r w:rsidRPr="00220A30">
              <w:rPr>
                <w:lang w:val="uk-UA"/>
              </w:rPr>
              <w:t xml:space="preserve"> О.Б. Ділові проекти. – Вінниця: Нова книга, 2007. – 88 с.</w:t>
            </w:r>
          </w:p>
          <w:p w14:paraId="6E5A4EF2" w14:textId="77777777" w:rsidR="00220A30" w:rsidRPr="00220A30" w:rsidRDefault="00731493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hyperlink r:id="rId8" w:history="1">
              <w:r w:rsidR="00220A30" w:rsidRPr="00220A30">
                <w:rPr>
                  <w:rStyle w:val="aa"/>
                  <w:color w:val="auto"/>
                  <w:lang w:val="en-US"/>
                </w:rPr>
                <w:t>English Communication for Scientists</w:t>
              </w:r>
            </w:hyperlink>
            <w:r w:rsidR="00220A30" w:rsidRPr="00220A30">
              <w:rPr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220A30" w:rsidRPr="00220A30">
                <w:rPr>
                  <w:rStyle w:val="aa"/>
                </w:rPr>
                <w:t>http</w:t>
              </w:r>
              <w:r w:rsidR="00220A30" w:rsidRPr="00220A30">
                <w:rPr>
                  <w:rStyle w:val="aa"/>
                  <w:lang w:val="uk-UA"/>
                </w:rPr>
                <w:t>://</w:t>
              </w:r>
              <w:r w:rsidR="00220A30" w:rsidRPr="00220A30">
                <w:rPr>
                  <w:rStyle w:val="aa"/>
                </w:rPr>
                <w:t>www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nature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com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scitable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ebooks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english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communication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for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scientists</w:t>
              </w:r>
              <w:r w:rsidR="00220A30" w:rsidRPr="00220A30">
                <w:rPr>
                  <w:rStyle w:val="aa"/>
                  <w:lang w:val="uk-UA"/>
                </w:rPr>
                <w:t>-14053993/</w:t>
              </w:r>
              <w:proofErr w:type="spellStart"/>
              <w:r w:rsidR="00220A30" w:rsidRPr="00220A30">
                <w:rPr>
                  <w:rStyle w:val="aa"/>
                </w:rPr>
                <w:t>contents</w:t>
              </w:r>
              <w:proofErr w:type="spellEnd"/>
            </w:hyperlink>
          </w:p>
          <w:p w14:paraId="199388BC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4BF160A6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06159DAB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220A30">
              <w:rPr>
                <w:sz w:val="24"/>
                <w:szCs w:val="24"/>
              </w:rPr>
              <w:t>прир</w:t>
            </w:r>
            <w:proofErr w:type="spellEnd"/>
            <w:r w:rsidRPr="00220A30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220A30">
              <w:rPr>
                <w:sz w:val="24"/>
                <w:szCs w:val="24"/>
              </w:rPr>
              <w:t>матем</w:t>
            </w:r>
            <w:proofErr w:type="spellEnd"/>
            <w:r w:rsidRPr="00220A30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064E690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Газета «</w:t>
            </w:r>
            <w:r w:rsidRPr="00220A30">
              <w:rPr>
                <w:sz w:val="24"/>
                <w:szCs w:val="24"/>
                <w:lang w:val="en-US"/>
              </w:rPr>
              <w:t>English Learner’s Digest</w:t>
            </w:r>
            <w:r w:rsidRPr="00220A30">
              <w:rPr>
                <w:sz w:val="24"/>
                <w:szCs w:val="24"/>
              </w:rPr>
              <w:t>»</w:t>
            </w:r>
            <w:r w:rsidRPr="00220A30">
              <w:rPr>
                <w:sz w:val="24"/>
                <w:szCs w:val="24"/>
                <w:lang w:val="en-US"/>
              </w:rPr>
              <w:t>.</w:t>
            </w:r>
          </w:p>
          <w:p w14:paraId="092055C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</w:t>
            </w:r>
            <w:proofErr w:type="spellStart"/>
            <w:r w:rsidRPr="00220A30">
              <w:rPr>
                <w:sz w:val="24"/>
                <w:szCs w:val="24"/>
              </w:rPr>
              <w:t>Коцюк</w:t>
            </w:r>
            <w:proofErr w:type="spellEnd"/>
            <w:r w:rsidRPr="00220A30">
              <w:rPr>
                <w:sz w:val="24"/>
                <w:szCs w:val="24"/>
              </w:rPr>
              <w:t xml:space="preserve"> Л.М.,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3887DFDB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 ./ Вінниця: Нова Книга, 2009. – 1040 с.</w:t>
            </w:r>
          </w:p>
          <w:p w14:paraId="4FA3943F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>Oxford Collocations Dictionary for students of English. – Oxford University Press, 2005. – 898 p.</w:t>
            </w:r>
          </w:p>
          <w:p w14:paraId="517B1DDC" w14:textId="77777777" w:rsidR="00220A30" w:rsidRPr="00220A30" w:rsidRDefault="00220A30" w:rsidP="00220A30">
            <w:pPr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  <w:lang w:val="en-US"/>
              </w:rPr>
              <w:t>Hornby A. S. Oxford Advanced Learner’s Dictionary of Current English. – Oxford University Press, 2000. – 1540 p.</w:t>
            </w:r>
          </w:p>
          <w:p w14:paraId="7B356D1D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 xml:space="preserve"> A Way to Success: English for University Students. Teacher’s Book / </w:t>
            </w:r>
            <w:r w:rsidRPr="00220A30">
              <w:rPr>
                <w:sz w:val="24"/>
                <w:szCs w:val="24"/>
              </w:rPr>
              <w:t>Н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Тучина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, </w:t>
            </w:r>
            <w:r w:rsidRPr="00220A30">
              <w:rPr>
                <w:sz w:val="24"/>
                <w:szCs w:val="24"/>
              </w:rPr>
              <w:t>І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Жарковська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r w:rsidRPr="00220A30">
              <w:rPr>
                <w:sz w:val="24"/>
                <w:szCs w:val="24"/>
              </w:rPr>
              <w:t>та</w:t>
            </w:r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A30">
              <w:rPr>
                <w:sz w:val="24"/>
                <w:szCs w:val="24"/>
              </w:rPr>
              <w:t>ін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. – </w:t>
            </w:r>
            <w:r w:rsidRPr="00220A30">
              <w:rPr>
                <w:sz w:val="24"/>
                <w:szCs w:val="24"/>
              </w:rPr>
              <w:t>Харків</w:t>
            </w:r>
            <w:r w:rsidRPr="00220A30">
              <w:rPr>
                <w:sz w:val="24"/>
                <w:szCs w:val="24"/>
                <w:lang w:val="en-US"/>
              </w:rPr>
              <w:t xml:space="preserve">: </w:t>
            </w:r>
            <w:r w:rsidRPr="00220A30">
              <w:rPr>
                <w:sz w:val="24"/>
                <w:szCs w:val="24"/>
              </w:rPr>
              <w:t>Фоліо</w:t>
            </w:r>
            <w:r w:rsidRPr="00220A30">
              <w:rPr>
                <w:sz w:val="24"/>
                <w:szCs w:val="24"/>
                <w:lang w:val="en-US"/>
              </w:rPr>
              <w:t xml:space="preserve">. </w:t>
            </w:r>
            <w:r w:rsidRPr="00220A30">
              <w:rPr>
                <w:sz w:val="24"/>
                <w:szCs w:val="24"/>
              </w:rPr>
              <w:t>2004. – 416 с.</w:t>
            </w:r>
          </w:p>
          <w:p w14:paraId="4BA7FCD4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220A30">
              <w:rPr>
                <w:b/>
                <w:sz w:val="24"/>
                <w:szCs w:val="24"/>
              </w:rPr>
              <w:t>Інформаційні ресурси</w:t>
            </w:r>
          </w:p>
          <w:p w14:paraId="069B1E45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07E4FAF6" w14:textId="77777777" w:rsidR="00220A30" w:rsidRPr="00220A30" w:rsidRDefault="00731493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0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67C6430" w14:textId="77777777" w:rsidR="00220A30" w:rsidRPr="00220A30" w:rsidRDefault="00731493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1D1C87D1" w14:textId="77777777" w:rsidR="00220A30" w:rsidRPr="00220A30" w:rsidRDefault="00731493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6A93127F" w14:textId="77777777" w:rsidR="00220A30" w:rsidRPr="00220A30" w:rsidRDefault="00731493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http://ednu.kiev.ua/edu_se_prim.htm</w:t>
              </w:r>
            </w:hyperlink>
          </w:p>
          <w:p w14:paraId="27398D78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http://ec.europa.eu/education/more-information/doc/2011/ukraine_en.pdf</w:t>
            </w:r>
          </w:p>
          <w:p w14:paraId="5129D83D" w14:textId="796DF6AE" w:rsidR="00220A30" w:rsidRPr="00282E66" w:rsidRDefault="00220A30" w:rsidP="00220A30">
            <w:pPr>
              <w:pStyle w:val="TableParagraph"/>
              <w:tabs>
                <w:tab w:val="left" w:pos="392"/>
              </w:tabs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72D1B096" w14:textId="1D0AA8FD" w:rsidR="00A0480E" w:rsidRDefault="00A0480E">
      <w:pPr>
        <w:spacing w:before="9"/>
        <w:rPr>
          <w:b/>
          <w:sz w:val="24"/>
          <w:szCs w:val="24"/>
        </w:rPr>
      </w:pPr>
    </w:p>
    <w:p w14:paraId="3D01C11C" w14:textId="075A28CA" w:rsidR="00220A30" w:rsidRDefault="00220A30">
      <w:pPr>
        <w:spacing w:before="9"/>
        <w:rPr>
          <w:b/>
          <w:sz w:val="24"/>
          <w:szCs w:val="24"/>
        </w:rPr>
      </w:pPr>
    </w:p>
    <w:p w14:paraId="28DB8A27" w14:textId="094FB990" w:rsidR="00220A30" w:rsidRDefault="00220A30">
      <w:pPr>
        <w:spacing w:before="9"/>
        <w:rPr>
          <w:b/>
          <w:sz w:val="24"/>
          <w:szCs w:val="24"/>
        </w:rPr>
      </w:pPr>
    </w:p>
    <w:p w14:paraId="528E700D" w14:textId="3D6D790A" w:rsidR="00220A30" w:rsidRDefault="00220A30">
      <w:pPr>
        <w:spacing w:before="9"/>
        <w:rPr>
          <w:b/>
          <w:sz w:val="24"/>
          <w:szCs w:val="24"/>
        </w:rPr>
      </w:pPr>
    </w:p>
    <w:p w14:paraId="2BC95810" w14:textId="77777777" w:rsidR="00220A30" w:rsidRDefault="00220A30">
      <w:pPr>
        <w:spacing w:before="9"/>
        <w:rPr>
          <w:b/>
          <w:sz w:val="24"/>
          <w:szCs w:val="24"/>
        </w:rPr>
      </w:pPr>
    </w:p>
    <w:p w14:paraId="5C338667" w14:textId="77777777" w:rsidR="00C15569" w:rsidRDefault="00C15569">
      <w:pPr>
        <w:spacing w:before="9"/>
        <w:rPr>
          <w:b/>
          <w:sz w:val="24"/>
          <w:szCs w:val="24"/>
        </w:rPr>
      </w:pPr>
    </w:p>
    <w:p w14:paraId="7D16AA4F" w14:textId="77777777" w:rsidR="00A0480E" w:rsidRPr="00847E2D" w:rsidRDefault="00A0480E">
      <w:pPr>
        <w:spacing w:before="9"/>
        <w:rPr>
          <w:b/>
          <w:sz w:val="28"/>
          <w:szCs w:val="28"/>
        </w:rPr>
      </w:pPr>
    </w:p>
    <w:p w14:paraId="26B3BE73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lastRenderedPageBreak/>
        <w:t>Контактна</w:t>
      </w:r>
      <w:r w:rsidRPr="00847E2D">
        <w:rPr>
          <w:b/>
          <w:spacing w:val="-11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64C6EA20" w14:textId="77777777" w:rsidR="00F20793" w:rsidRPr="00A0480E" w:rsidRDefault="00F20793" w:rsidP="00F20793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793B8C76" w:rsidR="005D74A1" w:rsidRPr="00A0480E" w:rsidRDefault="00F20793" w:rsidP="00F20793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контактний телефон: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59-61-40,</w:t>
            </w:r>
            <w:r w:rsidRPr="00A0480E">
              <w:rPr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  <w:lang w:eastAsia="ru-RU"/>
              </w:rPr>
              <w:t xml:space="preserve">контактна електронна адреса: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ED2612">
              <w:fldChar w:fldCharType="begin"/>
            </w:r>
            <w:r w:rsidR="00ED2612">
              <w:instrText xml:space="preserve"> HYPERLINK "mailto:vstup@onua.edu.ua" </w:instrText>
            </w:r>
            <w:r w:rsidR="00ED2612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ED2612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A0480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05C04874" w14:textId="0214DE67" w:rsidR="00F20793" w:rsidRPr="00A0480E" w:rsidRDefault="000C2149" w:rsidP="00F207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Хомишин Ольга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1B9DA0C5" w14:textId="714F3E28" w:rsidR="005D74A1" w:rsidRPr="00A0480E" w:rsidRDefault="00F20793" w:rsidP="00F20793">
            <w:pPr>
              <w:jc w:val="both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кафедри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мов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Прикарпатського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В.Стефаника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 w:rsidR="000C2149">
              <w:rPr>
                <w:sz w:val="24"/>
                <w:szCs w:val="24"/>
                <w:lang w:val="ru-RU"/>
              </w:rPr>
              <w:t>філологічних</w:t>
            </w:r>
            <w:proofErr w:type="spellEnd"/>
            <w:r w:rsidR="000C2149">
              <w:rPr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58EAAD61" w:rsidR="00F20793" w:rsidRPr="00A0480E" w:rsidRDefault="000C2149" w:rsidP="00F20793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olha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khomyshyn</w:t>
            </w:r>
            <w:proofErr w:type="spellEnd"/>
            <w:r w:rsidRPr="005C26C3">
              <w:rPr>
                <w:sz w:val="20"/>
                <w:szCs w:val="20"/>
              </w:rPr>
              <w:t>@p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u.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 w:rsidRPr="005C26C3">
              <w:rPr>
                <w:sz w:val="20"/>
                <w:szCs w:val="20"/>
              </w:rPr>
              <w:t>ua</w:t>
            </w:r>
            <w:proofErr w:type="spellEnd"/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847E2D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847E2D">
              <w:rPr>
                <w:lang w:val="en-US"/>
              </w:rPr>
              <w:lastRenderedPageBreak/>
              <w:t xml:space="preserve">8. </w:t>
            </w:r>
            <w:r w:rsidRPr="00847E2D">
              <w:t>Політика</w:t>
            </w:r>
            <w:r w:rsidRPr="00847E2D">
              <w:rPr>
                <w:spacing w:val="-5"/>
              </w:rPr>
              <w:t xml:space="preserve"> </w:t>
            </w:r>
            <w:r w:rsidRPr="00847E2D">
              <w:t>навчальної</w:t>
            </w:r>
            <w:r w:rsidRPr="00847E2D">
              <w:rPr>
                <w:spacing w:val="-2"/>
              </w:rPr>
              <w:t xml:space="preserve"> </w:t>
            </w:r>
            <w:r w:rsidRPr="00847E2D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4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3CBE9E6E" w:rsidR="005D74A1" w:rsidRPr="00A0480E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F466AF">
        <w:rPr>
          <w:b w:val="0"/>
          <w:bCs w:val="0"/>
        </w:rPr>
        <w:t>Хомишин</w:t>
      </w:r>
      <w:proofErr w:type="spellEnd"/>
      <w:r w:rsidR="00F466AF">
        <w:rPr>
          <w:b w:val="0"/>
          <w:bCs w:val="0"/>
        </w:rPr>
        <w:t xml:space="preserve"> О.М.</w:t>
      </w:r>
    </w:p>
    <w:sectPr w:rsidR="005D74A1" w:rsidRPr="00A0480E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pacing w:val="0"/>
        <w:sz w:val="24"/>
        <w:szCs w:val="24"/>
        <w:lang w:val="ru-RU"/>
      </w:rPr>
    </w:lvl>
  </w:abstractNum>
  <w:abstractNum w:abstractNumId="1" w15:restartNumberingAfterBreak="0">
    <w:nsid w:val="0000008A"/>
    <w:multiLevelType w:val="multilevel"/>
    <w:tmpl w:val="0000008A"/>
    <w:name w:val="WW8Num18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C2149"/>
    <w:rsid w:val="000D5611"/>
    <w:rsid w:val="000F68AC"/>
    <w:rsid w:val="001C3D7A"/>
    <w:rsid w:val="00220A30"/>
    <w:rsid w:val="00282E66"/>
    <w:rsid w:val="002A25FA"/>
    <w:rsid w:val="004B202C"/>
    <w:rsid w:val="004D7E8B"/>
    <w:rsid w:val="00590774"/>
    <w:rsid w:val="005C450A"/>
    <w:rsid w:val="005D74A1"/>
    <w:rsid w:val="0068331A"/>
    <w:rsid w:val="006B3C38"/>
    <w:rsid w:val="00722B9E"/>
    <w:rsid w:val="00731493"/>
    <w:rsid w:val="0080470B"/>
    <w:rsid w:val="00805F46"/>
    <w:rsid w:val="00847E2D"/>
    <w:rsid w:val="008F4C32"/>
    <w:rsid w:val="00A0480E"/>
    <w:rsid w:val="00B66516"/>
    <w:rsid w:val="00BC49C9"/>
    <w:rsid w:val="00C15569"/>
    <w:rsid w:val="00CC1A07"/>
    <w:rsid w:val="00D43190"/>
    <w:rsid w:val="00D9635B"/>
    <w:rsid w:val="00DA6E83"/>
    <w:rsid w:val="00DD65CA"/>
    <w:rsid w:val="00ED2612"/>
    <w:rsid w:val="00EE2401"/>
    <w:rsid w:val="00EF7D66"/>
    <w:rsid w:val="00F20793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82E66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10">
    <w:name w:val="Звичайний1"/>
    <w:rsid w:val="00282E6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WW-">
    <w:name w:val="WW-Содержимое таблицы"/>
    <w:basedOn w:val="a"/>
    <w:uiPriority w:val="99"/>
    <w:rsid w:val="00282E66"/>
    <w:pPr>
      <w:suppressLineNumbers/>
      <w:suppressAutoHyphens/>
      <w:autoSpaceDE/>
      <w:autoSpaceDN/>
      <w:spacing w:after="120"/>
    </w:pPr>
    <w:rPr>
      <w:rFonts w:eastAsia="Calibri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E6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Default">
    <w:name w:val="Default"/>
    <w:rsid w:val="00282E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C15569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eastAsia="zh-CN"/>
    </w:rPr>
  </w:style>
  <w:style w:type="character" w:customStyle="1" w:styleId="ad">
    <w:name w:val="Текст виноски Знак"/>
    <w:basedOn w:val="a0"/>
    <w:link w:val="ac"/>
    <w:rsid w:val="00C15569"/>
    <w:rPr>
      <w:rFonts w:ascii="Calibri" w:eastAsia="Calibri" w:hAnsi="Calibri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nmv.pnu.edu.ua/wp-content/uploads/sites/118/2021/02/neformalna_osv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18815</Words>
  <Characters>10725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2023-01-27T21:19:00Z</dcterms:created>
  <dcterms:modified xsi:type="dcterms:W3CDTF">2023-01-27T21:19:00Z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